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392B"/>
          <w:sz w:val="16"/>
        </w:rPr>
        <w:t>DESCARGA DEL MÓDULO 16</w:t>
      </w:r>
    </w:p>
    <w:p>
      <w:r>
        <w:rPr>
          <w:b/>
          <w:color w:val="1A5276"/>
          <w:sz w:val="36"/>
        </w:rPr>
        <w:t>Procedimiento simple para videos de empresa</w:t>
      </w:r>
    </w:p>
    <w:p>
      <w:r>
        <w:rPr>
          <w:color w:val="52606D"/>
        </w:rPr>
        <w:t>Adapte este procedimiento a su empresa: complete los responsables, la carpeta de archivo y la medida que revisará. En una microempresa una persona puede asumir varios roles; lo importante es que las decisiones queden claras.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Empresa: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Versión: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</w:rPr>
              <w:t>Fecha: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Aprobó:</w:t>
            </w:r>
          </w:p>
        </w:tc>
        <w:tc>
          <w:tcPr>
            <w:tcW w:type="dxa" w:w="255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154"/>
            <w:shd w:val="clear" w:color="auto" w:fill="0B3A5B"/>
          </w:tcPr>
          <w:p>
            <w:r>
              <w:rPr>
                <w:b/>
                <w:color w:val="FFFFFF"/>
              </w:rPr>
              <w:t>Paso</w:t>
            </w:r>
          </w:p>
        </w:tc>
        <w:tc>
          <w:tcPr>
            <w:tcW w:type="dxa" w:w="5669"/>
            <w:shd w:val="clear" w:color="auto" w:fill="0B3A5B"/>
          </w:tcPr>
          <w:p>
            <w:r>
              <w:rPr>
                <w:b/>
                <w:color w:val="FFFFFF"/>
              </w:rPr>
              <w:t>Qué se hace</w:t>
            </w:r>
          </w:p>
        </w:tc>
        <w:tc>
          <w:tcPr>
            <w:tcW w:type="dxa" w:w="2268"/>
            <w:shd w:val="clear" w:color="auto" w:fill="0B3A5B"/>
          </w:tcPr>
          <w:p>
            <w:r>
              <w:rPr>
                <w:b/>
                <w:color w:val="FFFFFF"/>
              </w:rPr>
              <w:t>Responsable</w:t>
            </w:r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1. Propuesta</w:t>
            </w:r>
          </w:p>
        </w:tc>
        <w:tc>
          <w:tcPr>
            <w:tcW w:type="dxa" w:w="5669"/>
          </w:tcPr>
          <w:p>
            <w:r>
              <w:t>La persona responsable completa el Brief de video y define objetivo, público, canal y fecha.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2. Preparación</w:t>
            </w:r>
          </w:p>
        </w:tc>
        <w:tc>
          <w:tcPr>
            <w:tcW w:type="dxa" w:w="5669"/>
          </w:tcPr>
          <w:p>
            <w:r>
              <w:t>Se revisan datos, permisos, imágenes, afirmaciones y guion antes de producir. Autorizaciones de rostro y voz por escrito (LFDA art. 87).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3. Producción</w:t>
            </w:r>
          </w:p>
        </w:tc>
        <w:tc>
          <w:tcPr>
            <w:tcW w:type="dxa" w:w="5669"/>
          </w:tcPr>
          <w:p>
            <w:r>
              <w:t>Se genera o reúne el material visual, la voz, los subtítulos y la música autorizada.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4. Revisión y aprobación</w:t>
            </w:r>
          </w:p>
        </w:tc>
        <w:tc>
          <w:tcPr>
            <w:tcW w:type="dxa" w:w="5669"/>
          </w:tcPr>
          <w:p>
            <w:r>
              <w:t>Una persona que conoce el servicio revisa exactitud. Una persona responsable aprueba la versión final (Lista de revisión antes de publicar).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5. Publicación y archivo</w:t>
            </w:r>
          </w:p>
        </w:tc>
        <w:tc>
          <w:tcPr>
            <w:tcW w:type="dxa" w:w="5669"/>
          </w:tcPr>
          <w:p>
            <w:r>
              <w:t>Se publica la versión aprobada. Se archivan el guion, la versión final, la fecha, el canal y las autorizaciones necesarias.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6. Aprendizaje</w:t>
            </w:r>
          </w:p>
        </w:tc>
        <w:tc>
          <w:tcPr>
            <w:tcW w:type="dxa" w:w="5669"/>
          </w:tcPr>
          <w:p>
            <w:r>
              <w:t>Después de 30 días, se revisa una señal útil: consultas, reproducciones completas, preguntas repetidas o uso interno. El resultado se usa para mejorar el siguiente video.</w:t>
            </w:r>
          </w:p>
        </w:tc>
        <w:tc>
          <w:tcPr>
            <w:tcW w:type="dxa" w:w="2268"/>
          </w:tcPr>
          <w:p>
            <w:r/>
          </w:p>
        </w:tc>
      </w:tr>
    </w:tbl>
    <w:p/>
    <w:p>
      <w:r>
        <w:rPr>
          <w:b/>
          <w:color w:val="1A5276"/>
          <w:sz w:val="24"/>
        </w:rPr>
        <w:t>Reglas de su empresa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Herramientas y cuentas de IA permitidas</w:t>
            </w:r>
          </w:p>
        </w:tc>
        <w:tc>
          <w:tcPr>
            <w:tcW w:type="dxa" w:w="6406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Datos que nunca entran en una herramienta de IA</w:t>
            </w:r>
          </w:p>
        </w:tc>
        <w:tc>
          <w:tcPr>
            <w:tcW w:type="dxa" w:w="6406"/>
          </w:tcPr>
          <w:p>
            <w:r>
              <w:t>datos personales sin finalidad en el aviso de privacidad, documentos internos, precios confidenciales</w:t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Carpeta de archivo</w:t>
            </w:r>
          </w:p>
        </w:tc>
        <w:tc>
          <w:tcPr>
            <w:tcW w:type="dxa" w:w="6406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Medida que revisamos a los 30 días</w:t>
            </w:r>
          </w:p>
        </w:tc>
        <w:tc>
          <w:tcPr>
            <w:tcW w:type="dxa" w:w="6406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Persona de contacto</w:t>
            </w:r>
          </w:p>
        </w:tc>
        <w:tc>
          <w:tcPr>
            <w:tcW w:type="dxa" w:w="6406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020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7B8794"/>
        <w:sz w:val="15"/>
      </w:rPr>
      <w:t>Los documentos fueron elaborados con apoyo de IA. El contenido es revisado por el responsable del proyecto.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